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E" w:rsidRDefault="005F7BDE" w:rsidP="005F7BD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Межрайонная</w:t>
      </w:r>
      <w:proofErr w:type="gramEnd"/>
      <w:r>
        <w:rPr>
          <w:rFonts w:ascii="Times New Roman" w:hAnsi="Times New Roman" w:cs="Times New Roman"/>
        </w:rPr>
        <w:t xml:space="preserve"> ИФНС России № 23 по Челябинской области разъясняет!</w:t>
      </w:r>
    </w:p>
    <w:p w:rsidR="005F7BDE" w:rsidRDefault="005F7BDE" w:rsidP="005F7BD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Пользователи Интернет – сервиса «Личный кабинет налогоплательщика для физических лиц» могут в разделе Сервиса «Начислено» сформировать квитанцию и оплатить налоги через Интернет без комиссии. </w:t>
      </w:r>
    </w:p>
    <w:p w:rsidR="005F7BDE" w:rsidRDefault="005F7BDE" w:rsidP="005F7BD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 ВНИМАНИЕ! Сведения об уплате отображаются в «Личном кабинете налогоплательщика для физических лиц» в течение 10 рабочих дней. При этом датой оплаты является дата списания денежных средств со счета в банке. Пени за период прохождения платежа не начисляются. </w:t>
      </w:r>
    </w:p>
    <w:p w:rsidR="005F7BDE" w:rsidRDefault="005F7BDE" w:rsidP="005F7BD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оплатить имущественные налоги за 2016 год можно в терминалах самообслуживания (банкоматах), через «интернет—банк» или кассу кредитной организации, обслуживающей физических лиц с использованием индекса платежа. </w:t>
      </w:r>
    </w:p>
    <w:p w:rsidR="005F7BDE" w:rsidRDefault="005F7BDE" w:rsidP="005F7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сведения об индексах налоговых платежей, сформированных налоговыми органами в текущем году можно на сайте ФНС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«Электронные сервисы» → «Узнай индекс платежа».</w:t>
      </w:r>
    </w:p>
    <w:p w:rsidR="00455A11" w:rsidRDefault="00455A11"/>
    <w:sectPr w:rsidR="00455A11" w:rsidSect="0045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DE"/>
    <w:rsid w:val="00455A11"/>
    <w:rsid w:val="005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BDE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Work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2017-09-19T03:10:00Z</dcterms:created>
  <dcterms:modified xsi:type="dcterms:W3CDTF">2017-09-19T03:10:00Z</dcterms:modified>
</cp:coreProperties>
</file>